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41BC" w:rsidRDefault="00EA09EE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Пояснительная записка по ИТ</w:t>
      </w:r>
    </w:p>
    <w:p w:rsidR="009841BC" w:rsidRDefault="00EA09EE">
      <w:pPr>
        <w:spacing w:before="283"/>
        <w:ind w:left="283" w:right="283"/>
        <w:jc w:val="center"/>
        <w:rPr>
          <w:b/>
          <w:bCs/>
        </w:rPr>
      </w:pPr>
      <w:r>
        <w:rPr>
          <w:b/>
          <w:bCs/>
        </w:rPr>
        <w:t>Модернизация «Единой Информационно-аналитической системы» в 2026 году</w:t>
      </w:r>
    </w:p>
    <w:p w:rsidR="009841BC" w:rsidRDefault="00EA09EE">
      <w:pPr>
        <w:spacing w:before="113"/>
        <w:jc w:val="center"/>
        <w:rPr>
          <w:b/>
          <w:bCs/>
        </w:rPr>
      </w:pPr>
      <w:r>
        <w:rPr>
          <w:b/>
          <w:bCs/>
        </w:rPr>
        <w:t>Код проекта - 15.</w:t>
      </w:r>
      <w:r>
        <w:rPr>
          <w:b/>
          <w:bCs/>
          <w:lang w:val="ru-RU"/>
        </w:rPr>
        <w:t>26</w:t>
      </w:r>
      <w:r>
        <w:rPr>
          <w:b/>
          <w:bCs/>
        </w:rPr>
        <w:t>.10073</w:t>
      </w:r>
    </w:p>
    <w:p w:rsidR="009841BC" w:rsidRDefault="00EA09EE">
      <w:pPr>
        <w:pStyle w:val="1"/>
        <w:numPr>
          <w:ilvl w:val="0"/>
          <w:numId w:val="1"/>
        </w:numPr>
      </w:pPr>
      <w:r>
        <w:t>ОПИСАНИЕ ИПКВ ИТ</w:t>
      </w:r>
    </w:p>
    <w:p w:rsidR="009841BC" w:rsidRDefault="00EA09EE">
      <w:pPr>
        <w:pStyle w:val="2"/>
        <w:numPr>
          <w:ilvl w:val="1"/>
          <w:numId w:val="1"/>
        </w:numPr>
      </w:pPr>
      <w:r>
        <w:t>Объект вложения средств</w:t>
      </w:r>
    </w:p>
    <w:p w:rsidR="009841BC" w:rsidRDefault="00EA09EE">
      <w:r>
        <w:t>АО "Петербургская сбытовая компания".</w:t>
      </w:r>
    </w:p>
    <w:p w:rsidR="009841BC" w:rsidRDefault="00EA09EE" w:rsidP="00EA09EE">
      <w:pPr>
        <w:jc w:val="both"/>
      </w:pPr>
      <w:r>
        <w:t>АО «Петербургская сбытовая компания». Существующий НМА: «Единая информационно-аналитическая система» инвентарный № 000000001.</w:t>
      </w:r>
    </w:p>
    <w:p w:rsidR="009841BC" w:rsidRDefault="00EA09EE">
      <w:pPr>
        <w:spacing w:before="283" w:after="283"/>
        <w:rPr>
          <w:b/>
          <w:bCs/>
        </w:rPr>
      </w:pPr>
      <w:r>
        <w:rPr>
          <w:b/>
          <w:bCs/>
        </w:rPr>
        <w:t>Инвентарные номера:</w:t>
      </w:r>
    </w:p>
    <w:p w:rsidR="009841BC" w:rsidRDefault="009841BC"/>
    <w:p w:rsidR="009841BC" w:rsidRDefault="00EA09EE">
      <w:pPr>
        <w:pStyle w:val="2"/>
        <w:numPr>
          <w:ilvl w:val="1"/>
          <w:numId w:val="1"/>
        </w:numPr>
      </w:pPr>
      <w:r>
        <w:t>Предпосылки / необходимость реализации ИПКВ ИТ</w:t>
      </w:r>
    </w:p>
    <w:p w:rsidR="009841BC" w:rsidRDefault="00EA09EE" w:rsidP="00EA09EE">
      <w:pPr>
        <w:jc w:val="both"/>
      </w:pPr>
      <w:r>
        <w:t>Единая информационно-аналитическая система (ЕИАС) предназначен</w:t>
      </w:r>
      <w:r>
        <w:t>а для автоматизации централизованного сбора и представления аналитической информации по основным сферам деятельности энергосбытовой компании с целью эффективного принятия тактических и стратегических решений бизнес-пользователями системы и предоставления а</w:t>
      </w:r>
      <w:r>
        <w:t>налитической информации в головные отделения и правительственные организации.</w:t>
      </w:r>
    </w:p>
    <w:p w:rsidR="009841BC" w:rsidRDefault="00EA09EE" w:rsidP="00EA09EE">
      <w:pPr>
        <w:jc w:val="both"/>
        <w:rPr>
          <w:sz w:val="26"/>
          <w:szCs w:val="26"/>
        </w:rPr>
      </w:pPr>
      <w:r>
        <w:t>Модернизация системы в 2026 году необходима в связи с новыми требованиями бизнес-процессов заказчика и изменениями в системах источниках, в соответствии с новыми требованиями фед</w:t>
      </w:r>
      <w:r>
        <w:t>ерального законодательства, переводом на открытое программное обеспечение инструмента загрузки и преобразования данных (модуль юридических лиц), а также для приведения системы в соответствие с требованиями информационной безопасности.</w:t>
      </w:r>
    </w:p>
    <w:p w:rsidR="009841BC" w:rsidRDefault="009841BC">
      <w:pPr>
        <w:rPr>
          <w:sz w:val="26"/>
          <w:szCs w:val="26"/>
        </w:rPr>
      </w:pPr>
    </w:p>
    <w:p w:rsidR="009841BC" w:rsidRDefault="009841BC">
      <w:pPr>
        <w:rPr>
          <w:sz w:val="26"/>
          <w:szCs w:val="26"/>
        </w:rPr>
      </w:pPr>
    </w:p>
    <w:p w:rsidR="009841BC" w:rsidRDefault="009841BC">
      <w:pPr>
        <w:rPr>
          <w:sz w:val="26"/>
          <w:szCs w:val="26"/>
        </w:rPr>
      </w:pPr>
    </w:p>
    <w:p w:rsidR="009841BC" w:rsidRDefault="00EA09EE">
      <w:pPr>
        <w:pStyle w:val="2"/>
        <w:numPr>
          <w:ilvl w:val="1"/>
          <w:numId w:val="1"/>
        </w:numPr>
      </w:pPr>
      <w:r>
        <w:t>Цель ИПКВ ИТ</w:t>
      </w:r>
    </w:p>
    <w:p w:rsidR="009841BC" w:rsidRDefault="00EA09EE" w:rsidP="00EA09EE">
      <w:pPr>
        <w:jc w:val="both"/>
      </w:pPr>
      <w:r>
        <w:t>Работ</w:t>
      </w:r>
      <w:r>
        <w:t>ы по модернизации ЕИАС позволят существенным образом расширить функциональные возможности эксплуатируемой в АО «Петербургская сбытовая компания» системы, повысить информативность аналитических данных, снизить объем ручных операций, а также продолжить работ</w:t>
      </w:r>
      <w:r>
        <w:t>ы по переводу на российское программное обеспечение.</w:t>
      </w:r>
    </w:p>
    <w:p w:rsidR="009841BC" w:rsidRDefault="00EA09EE">
      <w:pPr>
        <w:pStyle w:val="2"/>
        <w:numPr>
          <w:ilvl w:val="1"/>
          <w:numId w:val="1"/>
        </w:numPr>
      </w:pPr>
      <w:r>
        <w:t>Технические решения ИПКВ ИТ</w:t>
      </w:r>
    </w:p>
    <w:p w:rsidR="009841BC" w:rsidRDefault="00EA09EE" w:rsidP="00EA09EE">
      <w:pPr>
        <w:jc w:val="both"/>
      </w:pPr>
      <w:r>
        <w:t>Основные проекты и этапы работ по модернизации системы, запланированные к выполнению в 2026 году:</w:t>
      </w:r>
    </w:p>
    <w:p w:rsidR="009841BC" w:rsidRDefault="00EA09EE" w:rsidP="00EA09EE">
      <w:pPr>
        <w:jc w:val="both"/>
        <w:rPr>
          <w:sz w:val="26"/>
          <w:szCs w:val="26"/>
        </w:rPr>
      </w:pPr>
      <w:r>
        <w:t>Модернизация «Единой информационно-аналитической системы» в соответствии с но</w:t>
      </w:r>
      <w:r>
        <w:t>выми требованиями бизнес-процессов заказчика и изменениями в системах источниках в части юридических и физических лиц -7 281 чел/час., что включает в себя:</w:t>
      </w:r>
    </w:p>
    <w:p w:rsidR="009841BC" w:rsidRDefault="00EA09EE" w:rsidP="00EA09EE">
      <w:pPr>
        <w:jc w:val="both"/>
        <w:rPr>
          <w:sz w:val="26"/>
          <w:szCs w:val="26"/>
        </w:rPr>
      </w:pPr>
      <w:r>
        <w:t>-  Перевод инструмента извлечения и трансформации данных (ETL) на российское ПО СИГМА.DATA – 2 392 ч</w:t>
      </w:r>
      <w:r>
        <w:t>.</w:t>
      </w:r>
    </w:p>
    <w:p w:rsidR="009841BC" w:rsidRDefault="00EA09EE" w:rsidP="00EA09EE">
      <w:pPr>
        <w:jc w:val="both"/>
        <w:rPr>
          <w:sz w:val="26"/>
          <w:szCs w:val="26"/>
        </w:rPr>
      </w:pPr>
      <w:r>
        <w:t>- Доработки по ЗНИ на 3 220 ч. – список оцененных работ приложен отдельным файлом;</w:t>
      </w:r>
    </w:p>
    <w:p w:rsidR="009841BC" w:rsidRDefault="00EA09EE" w:rsidP="00EA09EE">
      <w:pPr>
        <w:jc w:val="both"/>
        <w:rPr>
          <w:sz w:val="26"/>
          <w:szCs w:val="26"/>
        </w:rPr>
      </w:pPr>
      <w:r>
        <w:lastRenderedPageBreak/>
        <w:t>- ЗНИ, связанные с изменением законодательства или бизнес-</w:t>
      </w:r>
      <w:proofErr w:type="gramStart"/>
      <w:r>
        <w:t>процесса  –</w:t>
      </w:r>
      <w:proofErr w:type="gramEnd"/>
      <w:r>
        <w:t xml:space="preserve"> 1 669 ч. (оценка на базе статистики развития прошлых лет, в течение года возникают требования законод</w:t>
      </w:r>
      <w:r>
        <w:t>ательства, а так же изменения процессов, которые необходимо оперативно учитывать).</w:t>
      </w:r>
    </w:p>
    <w:p w:rsidR="009841BC" w:rsidRDefault="00EA09EE" w:rsidP="00EA09EE">
      <w:pPr>
        <w:jc w:val="both"/>
        <w:rPr>
          <w:sz w:val="26"/>
          <w:szCs w:val="26"/>
        </w:rPr>
      </w:pPr>
      <w:r>
        <w:t>Работы по условиям обеспечения ИБ, определенные в письме от 25.09.2024 № ИН/КП/ДВ/172 -3 692 чел/час.</w:t>
      </w:r>
    </w:p>
    <w:p w:rsidR="009841BC" w:rsidRDefault="00EA09EE" w:rsidP="00EA09EE">
      <w:pPr>
        <w:jc w:val="both"/>
        <w:rPr>
          <w:sz w:val="26"/>
          <w:szCs w:val="26"/>
        </w:rPr>
      </w:pPr>
      <w:r>
        <w:t>Разработка документации, определенной в письме от 12.12.2023 № ИН/КП/ВК/155 -2 201 чел/час.</w:t>
      </w:r>
    </w:p>
    <w:p w:rsidR="009841BC" w:rsidRDefault="00EA09EE" w:rsidP="00EA09EE">
      <w:pPr>
        <w:jc w:val="both"/>
        <w:rPr>
          <w:sz w:val="26"/>
          <w:szCs w:val="26"/>
        </w:rPr>
      </w:pPr>
      <w:r>
        <w:t>Итого 13174 чел/час.</w:t>
      </w:r>
    </w:p>
    <w:p w:rsidR="009841BC" w:rsidRDefault="00EA09EE" w:rsidP="00EA09EE">
      <w:pPr>
        <w:jc w:val="both"/>
        <w:rPr>
          <w:sz w:val="26"/>
          <w:szCs w:val="26"/>
        </w:rPr>
      </w:pPr>
      <w:r>
        <w:t xml:space="preserve">Следует учесть возможность </w:t>
      </w:r>
      <w:proofErr w:type="spellStart"/>
      <w:r>
        <w:t>переиспользования</w:t>
      </w:r>
      <w:proofErr w:type="spellEnd"/>
      <w:r>
        <w:t xml:space="preserve"> результатов проекта для импортозамещения других ИАС на базе </w:t>
      </w:r>
      <w:proofErr w:type="spellStart"/>
      <w:r>
        <w:t>Oracle</w:t>
      </w:r>
      <w:proofErr w:type="spellEnd"/>
      <w:r>
        <w:t>, используемых в компаниях Групп</w:t>
      </w:r>
      <w:r>
        <w:t xml:space="preserve">ы, что позволит сохранить унифицированное решение ИАС по ЮЛ. При </w:t>
      </w:r>
      <w:proofErr w:type="gramStart"/>
      <w:r>
        <w:t>этом  потребуется</w:t>
      </w:r>
      <w:proofErr w:type="gramEnd"/>
      <w:r>
        <w:t xml:space="preserve"> провести перевод конфигурации хранилища данных на базе СУБД </w:t>
      </w:r>
      <w:proofErr w:type="spellStart"/>
      <w:r>
        <w:t>Postgres</w:t>
      </w:r>
      <w:proofErr w:type="spellEnd"/>
      <w:r>
        <w:t xml:space="preserve"> и ETL-инструмент на базе </w:t>
      </w:r>
      <w:proofErr w:type="spellStart"/>
      <w:r>
        <w:t>Airflow</w:t>
      </w:r>
      <w:proofErr w:type="spellEnd"/>
      <w:r>
        <w:t xml:space="preserve"> (СИГМА.DATA), а также учесть структуру отчетов и необходимость оптимиза</w:t>
      </w:r>
      <w:r>
        <w:t>ции процедур их обновления и формирования (зав</w:t>
      </w:r>
      <w:bookmarkStart w:id="0" w:name="_GoBack"/>
      <w:bookmarkEnd w:id="0"/>
      <w:r>
        <w:t xml:space="preserve">исит от объема данных). </w:t>
      </w:r>
    </w:p>
    <w:p w:rsidR="009841BC" w:rsidRDefault="00EA09EE" w:rsidP="00EA09EE">
      <w:pPr>
        <w:jc w:val="both"/>
        <w:rPr>
          <w:sz w:val="26"/>
          <w:szCs w:val="26"/>
        </w:rPr>
      </w:pPr>
      <w:r>
        <w:t>Заключение договора по проекту в 1кв.2026г согласно ГКПЗ 2026, работы проводятся с момента заключения договора.  В зависимости от условий договора работы закрываются поэтапно/по каждому</w:t>
      </w:r>
      <w:r>
        <w:t xml:space="preserve"> ЗНИ/по факту выполнения части работ. Срок сдачи и приемки всех работ в 4 кв. 2026г.</w:t>
      </w:r>
    </w:p>
    <w:p w:rsidR="009841BC" w:rsidRDefault="009841BC">
      <w:pPr>
        <w:rPr>
          <w:sz w:val="26"/>
          <w:szCs w:val="26"/>
        </w:rPr>
      </w:pPr>
    </w:p>
    <w:p w:rsidR="009841BC" w:rsidRDefault="009841BC">
      <w:pPr>
        <w:rPr>
          <w:sz w:val="26"/>
          <w:szCs w:val="26"/>
        </w:rPr>
      </w:pPr>
    </w:p>
    <w:p w:rsidR="009841BC" w:rsidRDefault="009841BC">
      <w:pPr>
        <w:rPr>
          <w:sz w:val="26"/>
          <w:szCs w:val="26"/>
        </w:rPr>
      </w:pPr>
    </w:p>
    <w:p w:rsidR="009841BC" w:rsidRDefault="00EA09EE">
      <w:pPr>
        <w:pStyle w:val="2"/>
        <w:numPr>
          <w:ilvl w:val="1"/>
          <w:numId w:val="1"/>
        </w:numPr>
      </w:pPr>
      <w:r>
        <w:t>Дополнительная информация</w:t>
      </w:r>
    </w:p>
    <w:p w:rsidR="009841BC" w:rsidRDefault="00EA09EE">
      <w:r>
        <w:t>Данный ИПКВ не включён в стратегические документы компании.</w:t>
      </w:r>
    </w:p>
    <w:p w:rsidR="009841BC" w:rsidRDefault="00EA09EE">
      <w:pPr>
        <w:pStyle w:val="1"/>
        <w:numPr>
          <w:ilvl w:val="0"/>
          <w:numId w:val="1"/>
        </w:numPr>
      </w:pPr>
      <w:r>
        <w:t>ОБЪЕМ, СРОКИ И ЗАТРАТЫ ИПКВ</w:t>
      </w:r>
    </w:p>
    <w:p w:rsidR="009841BC" w:rsidRDefault="00EA09EE">
      <w:pPr>
        <w:pStyle w:val="Normalparagraph"/>
      </w:pPr>
      <w:r>
        <w:t>Начало выполнения работ - 1 квартал 2026 г.</w:t>
      </w:r>
    </w:p>
    <w:p w:rsidR="009841BC" w:rsidRDefault="00EA09EE">
      <w:pPr>
        <w:pStyle w:val="Normalparagraph"/>
        <w:spacing w:before="57"/>
      </w:pPr>
      <w:r>
        <w:t>Завершение</w:t>
      </w:r>
      <w:r>
        <w:t xml:space="preserve"> работ - 4 квартал 2026 г.</w:t>
      </w:r>
    </w:p>
    <w:p w:rsidR="009841BC" w:rsidRDefault="00EA09EE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1.</w:t>
      </w:r>
    </w:p>
    <w:p w:rsidR="009841BC" w:rsidRDefault="00EA09EE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Освоение: тыс. единиц национальной валюты без НДС</w:t>
      </w:r>
    </w:p>
    <w:tbl>
      <w:tblPr>
        <w:tblStyle w:val="13"/>
        <w:tblW w:w="5000" w:type="pct"/>
        <w:jc w:val="center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3466"/>
        <w:gridCol w:w="4775"/>
        <w:gridCol w:w="1191"/>
      </w:tblGrid>
      <w:tr w:rsidR="009841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  <w:jc w:val="center"/>
        </w:trPr>
        <w:tc>
          <w:tcPr>
            <w:tcW w:w="454" w:type="dxa"/>
            <w:shd w:val="clear" w:color="8C8C8C" w:fill="8C8C8C"/>
          </w:tcPr>
          <w:p w:rsidR="009841BC" w:rsidRDefault="00EA09EE">
            <w:pPr>
              <w:pStyle w:val="14"/>
            </w:pPr>
            <w:r>
              <w:t>№</w:t>
            </w:r>
          </w:p>
        </w:tc>
        <w:tc>
          <w:tcPr>
            <w:tcW w:w="1750" w:type="pct"/>
            <w:shd w:val="clear" w:color="8C8C8C" w:fill="8C8C8C"/>
          </w:tcPr>
          <w:p w:rsidR="009841BC" w:rsidRDefault="00EA09EE">
            <w:pPr>
              <w:pStyle w:val="14"/>
            </w:pPr>
            <w:r>
              <w:t>Статья затрат</w:t>
            </w:r>
          </w:p>
        </w:tc>
        <w:tc>
          <w:tcPr>
            <w:tcW w:w="0" w:type="auto"/>
            <w:shd w:val="clear" w:color="8C8C8C" w:fill="8C8C8C"/>
          </w:tcPr>
          <w:p w:rsidR="009841BC" w:rsidRDefault="00EA09EE">
            <w:pPr>
              <w:pStyle w:val="14"/>
            </w:pPr>
            <w:r>
              <w:t>2026</w:t>
            </w:r>
          </w:p>
        </w:tc>
        <w:tc>
          <w:tcPr>
            <w:tcW w:w="1191" w:type="dxa"/>
            <w:shd w:val="clear" w:color="8C8C8C" w:fill="8C8C8C"/>
          </w:tcPr>
          <w:p w:rsidR="009841BC" w:rsidRDefault="00EA09EE">
            <w:pPr>
              <w:pStyle w:val="14"/>
            </w:pPr>
            <w:r>
              <w:t>Итого без НДС</w:t>
            </w:r>
          </w:p>
        </w:tc>
      </w:tr>
      <w:tr w:rsidR="009841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4"/>
            <w:vMerge w:val="restart"/>
            <w:tcMar>
              <w:top w:w="57" w:type="dxa"/>
              <w:bottom w:w="57" w:type="dxa"/>
            </w:tcMar>
          </w:tcPr>
          <w:p w:rsidR="009841BC" w:rsidRDefault="00EA09EE">
            <w:pPr>
              <w:pStyle w:val="16"/>
            </w:pPr>
            <w:r>
              <w:t>1. Затраты, относящиеся на инвестиционную деятельность</w:t>
            </w:r>
          </w:p>
        </w:tc>
      </w:tr>
      <w:tr w:rsidR="009841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vMerge w:val="restart"/>
          </w:tcPr>
          <w:p w:rsidR="009841BC" w:rsidRDefault="00EA09EE">
            <w:pPr>
              <w:pStyle w:val="16"/>
            </w:pPr>
            <w:r>
              <w:t>1.1.</w:t>
            </w:r>
          </w:p>
        </w:tc>
        <w:tc>
          <w:tcPr>
            <w:tcW w:w="1750" w:type="pct"/>
            <w:vMerge w:val="restart"/>
          </w:tcPr>
          <w:p w:rsidR="009841BC" w:rsidRDefault="00EA09EE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9841BC" w:rsidRDefault="00EA09EE">
            <w:pPr>
              <w:pStyle w:val="15"/>
            </w:pPr>
            <w:r>
              <w:t>41 577</w:t>
            </w:r>
          </w:p>
        </w:tc>
        <w:tc>
          <w:tcPr>
            <w:tcW w:w="1191" w:type="dxa"/>
            <w:vMerge w:val="restart"/>
            <w:noWrap/>
          </w:tcPr>
          <w:p w:rsidR="009841BC" w:rsidRDefault="00EA09EE">
            <w:pPr>
              <w:pStyle w:val="15"/>
            </w:pPr>
            <w:r>
              <w:t>41 577</w:t>
            </w:r>
          </w:p>
        </w:tc>
      </w:tr>
      <w:tr w:rsidR="009841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9841BC" w:rsidRDefault="00EA09EE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9841BC" w:rsidRDefault="00EA09EE">
            <w:pPr>
              <w:pStyle w:val="15"/>
              <w:rPr>
                <w:bCs/>
              </w:rPr>
            </w:pPr>
            <w:r>
              <w:rPr>
                <w:bCs/>
              </w:rPr>
              <w:t>41 577</w:t>
            </w: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9841BC" w:rsidRDefault="00EA09EE">
            <w:pPr>
              <w:pStyle w:val="15"/>
              <w:rPr>
                <w:bCs/>
              </w:rPr>
            </w:pPr>
            <w:r>
              <w:rPr>
                <w:bCs/>
              </w:rPr>
              <w:t>41 577</w:t>
            </w:r>
          </w:p>
        </w:tc>
      </w:tr>
      <w:tr w:rsidR="009841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4"/>
            <w:vMerge w:val="restart"/>
            <w:tcMar>
              <w:top w:w="57" w:type="dxa"/>
              <w:bottom w:w="57" w:type="dxa"/>
            </w:tcMar>
          </w:tcPr>
          <w:p w:rsidR="009841BC" w:rsidRDefault="00EA09EE">
            <w:pPr>
              <w:pStyle w:val="16"/>
              <w:rPr>
                <w:bCs/>
              </w:rPr>
            </w:pPr>
            <w:r>
              <w:t>2. Затраты, относящиеся на операционную деятельность</w:t>
            </w:r>
          </w:p>
        </w:tc>
      </w:tr>
      <w:tr w:rsidR="009841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9841BC" w:rsidRDefault="00EA09EE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9841BC" w:rsidRDefault="009841BC">
            <w:pPr>
              <w:pStyle w:val="15"/>
              <w:rPr>
                <w:bCs/>
              </w:rPr>
            </w:pP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9841BC" w:rsidRDefault="009841BC">
            <w:pPr>
              <w:pStyle w:val="15"/>
              <w:rPr>
                <w:bCs/>
              </w:rPr>
            </w:pPr>
          </w:p>
        </w:tc>
      </w:tr>
      <w:tr w:rsidR="009841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8C8C8C" w:fill="8C8C8C"/>
            <w:tcMar>
              <w:right w:w="91" w:type="dxa"/>
            </w:tcMar>
          </w:tcPr>
          <w:p w:rsidR="009841BC" w:rsidRDefault="00EA09EE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 ПО ПРОЕКТУ: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9841BC" w:rsidRDefault="00EA09EE">
            <w:pPr>
              <w:pStyle w:val="15"/>
              <w:rPr>
                <w:bCs/>
              </w:rPr>
            </w:pPr>
            <w:r>
              <w:rPr>
                <w:bCs/>
              </w:rPr>
              <w:t>41 577</w:t>
            </w:r>
          </w:p>
        </w:tc>
        <w:tc>
          <w:tcPr>
            <w:tcW w:w="1191" w:type="dxa"/>
            <w:vMerge w:val="restart"/>
            <w:shd w:val="clear" w:color="8C8C8C" w:fill="8C8C8C"/>
            <w:noWrap/>
          </w:tcPr>
          <w:p w:rsidR="009841BC" w:rsidRDefault="00EA09EE">
            <w:pPr>
              <w:pStyle w:val="15"/>
              <w:rPr>
                <w:bCs/>
              </w:rPr>
            </w:pPr>
            <w:r>
              <w:rPr>
                <w:bCs/>
              </w:rPr>
              <w:t>41 577</w:t>
            </w:r>
          </w:p>
        </w:tc>
      </w:tr>
    </w:tbl>
    <w:p w:rsidR="009841BC" w:rsidRDefault="009841BC"/>
    <w:p w:rsidR="009841BC" w:rsidRDefault="00EA09EE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2.</w:t>
      </w:r>
    </w:p>
    <w:p w:rsidR="009841BC" w:rsidRDefault="00EA09EE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Финансирование: тыс. единиц национальной валюты с НДС</w:t>
      </w:r>
    </w:p>
    <w:tbl>
      <w:tblPr>
        <w:tblStyle w:val="13"/>
        <w:tblW w:w="5000" w:type="pct"/>
        <w:jc w:val="center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3466"/>
        <w:gridCol w:w="4775"/>
        <w:gridCol w:w="1191"/>
      </w:tblGrid>
      <w:tr w:rsidR="009841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  <w:jc w:val="center"/>
        </w:trPr>
        <w:tc>
          <w:tcPr>
            <w:tcW w:w="454" w:type="dxa"/>
            <w:shd w:val="clear" w:color="8C8C8C" w:fill="8C8C8C"/>
          </w:tcPr>
          <w:p w:rsidR="009841BC" w:rsidRDefault="00EA09EE">
            <w:pPr>
              <w:pStyle w:val="14"/>
            </w:pPr>
            <w:r>
              <w:lastRenderedPageBreak/>
              <w:t>№</w:t>
            </w:r>
          </w:p>
        </w:tc>
        <w:tc>
          <w:tcPr>
            <w:tcW w:w="1750" w:type="pct"/>
            <w:shd w:val="clear" w:color="8C8C8C" w:fill="8C8C8C"/>
          </w:tcPr>
          <w:p w:rsidR="009841BC" w:rsidRDefault="00EA09EE">
            <w:pPr>
              <w:pStyle w:val="14"/>
            </w:pPr>
            <w:r>
              <w:t>Статья затрат</w:t>
            </w:r>
          </w:p>
        </w:tc>
        <w:tc>
          <w:tcPr>
            <w:tcW w:w="0" w:type="auto"/>
            <w:shd w:val="clear" w:color="8C8C8C" w:fill="8C8C8C"/>
          </w:tcPr>
          <w:p w:rsidR="009841BC" w:rsidRDefault="00EA09EE">
            <w:pPr>
              <w:pStyle w:val="14"/>
            </w:pPr>
            <w:r>
              <w:t>2026</w:t>
            </w:r>
          </w:p>
        </w:tc>
        <w:tc>
          <w:tcPr>
            <w:tcW w:w="1191" w:type="dxa"/>
            <w:shd w:val="clear" w:color="8C8C8C" w:fill="8C8C8C"/>
          </w:tcPr>
          <w:p w:rsidR="009841BC" w:rsidRDefault="00EA09EE">
            <w:pPr>
              <w:pStyle w:val="14"/>
            </w:pPr>
            <w:r>
              <w:t>Итого с НДС</w:t>
            </w:r>
          </w:p>
        </w:tc>
      </w:tr>
      <w:tr w:rsidR="009841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4"/>
            <w:vMerge w:val="restart"/>
            <w:tcMar>
              <w:top w:w="57" w:type="dxa"/>
              <w:bottom w:w="57" w:type="dxa"/>
            </w:tcMar>
          </w:tcPr>
          <w:p w:rsidR="009841BC" w:rsidRDefault="00EA09EE">
            <w:pPr>
              <w:pStyle w:val="16"/>
            </w:pPr>
            <w:r>
              <w:t>1. Затраты, относящиеся на инвестиционную деятельность</w:t>
            </w:r>
          </w:p>
        </w:tc>
      </w:tr>
      <w:tr w:rsidR="009841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vMerge w:val="restart"/>
          </w:tcPr>
          <w:p w:rsidR="009841BC" w:rsidRDefault="00EA09EE">
            <w:pPr>
              <w:pStyle w:val="16"/>
            </w:pPr>
            <w:r>
              <w:t>1.1.</w:t>
            </w:r>
          </w:p>
        </w:tc>
        <w:tc>
          <w:tcPr>
            <w:tcW w:w="1750" w:type="pct"/>
            <w:vMerge w:val="restart"/>
          </w:tcPr>
          <w:p w:rsidR="009841BC" w:rsidRDefault="00EA09EE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9841BC" w:rsidRDefault="00EA09EE">
            <w:pPr>
              <w:pStyle w:val="15"/>
            </w:pPr>
            <w:r>
              <w:t>50 724</w:t>
            </w:r>
          </w:p>
        </w:tc>
        <w:tc>
          <w:tcPr>
            <w:tcW w:w="1191" w:type="dxa"/>
            <w:vMerge w:val="restart"/>
            <w:noWrap/>
          </w:tcPr>
          <w:p w:rsidR="009841BC" w:rsidRDefault="00EA09EE">
            <w:pPr>
              <w:pStyle w:val="15"/>
            </w:pPr>
            <w:r>
              <w:t>50 724</w:t>
            </w:r>
          </w:p>
        </w:tc>
      </w:tr>
      <w:tr w:rsidR="009841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9841BC" w:rsidRDefault="00EA09EE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9841BC" w:rsidRDefault="00EA09EE">
            <w:pPr>
              <w:pStyle w:val="15"/>
              <w:rPr>
                <w:bCs/>
              </w:rPr>
            </w:pPr>
            <w:r>
              <w:rPr>
                <w:bCs/>
              </w:rPr>
              <w:t>50 724</w:t>
            </w: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9841BC" w:rsidRDefault="00EA09EE">
            <w:pPr>
              <w:pStyle w:val="15"/>
              <w:rPr>
                <w:bCs/>
              </w:rPr>
            </w:pPr>
            <w:r>
              <w:rPr>
                <w:bCs/>
              </w:rPr>
              <w:t>50 724</w:t>
            </w:r>
          </w:p>
        </w:tc>
      </w:tr>
      <w:tr w:rsidR="009841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4"/>
            <w:vMerge w:val="restart"/>
            <w:tcMar>
              <w:top w:w="57" w:type="dxa"/>
              <w:bottom w:w="57" w:type="dxa"/>
            </w:tcMar>
          </w:tcPr>
          <w:p w:rsidR="009841BC" w:rsidRDefault="00EA09EE">
            <w:pPr>
              <w:pStyle w:val="16"/>
              <w:rPr>
                <w:bCs/>
              </w:rPr>
            </w:pPr>
            <w:r>
              <w:t>2. Затраты, относящиеся на операционную деятельность</w:t>
            </w:r>
          </w:p>
        </w:tc>
      </w:tr>
      <w:tr w:rsidR="009841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9841BC" w:rsidRDefault="00EA09EE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9841BC" w:rsidRDefault="009841BC">
            <w:pPr>
              <w:pStyle w:val="15"/>
              <w:rPr>
                <w:bCs/>
              </w:rPr>
            </w:pP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9841BC" w:rsidRDefault="009841BC">
            <w:pPr>
              <w:pStyle w:val="15"/>
              <w:rPr>
                <w:bCs/>
              </w:rPr>
            </w:pPr>
          </w:p>
        </w:tc>
      </w:tr>
      <w:tr w:rsidR="009841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8C8C8C" w:fill="8C8C8C"/>
            <w:tcMar>
              <w:right w:w="91" w:type="dxa"/>
            </w:tcMar>
          </w:tcPr>
          <w:p w:rsidR="009841BC" w:rsidRDefault="00EA09EE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 ПО ПРОЕКТУ: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9841BC" w:rsidRDefault="00EA09EE">
            <w:pPr>
              <w:pStyle w:val="15"/>
              <w:rPr>
                <w:bCs/>
              </w:rPr>
            </w:pPr>
            <w:r>
              <w:rPr>
                <w:bCs/>
              </w:rPr>
              <w:t>50 724</w:t>
            </w:r>
          </w:p>
        </w:tc>
        <w:tc>
          <w:tcPr>
            <w:tcW w:w="1191" w:type="dxa"/>
            <w:vMerge w:val="restart"/>
            <w:shd w:val="clear" w:color="8C8C8C" w:fill="8C8C8C"/>
            <w:noWrap/>
          </w:tcPr>
          <w:p w:rsidR="009841BC" w:rsidRDefault="00EA09EE">
            <w:pPr>
              <w:pStyle w:val="15"/>
              <w:rPr>
                <w:bCs/>
              </w:rPr>
            </w:pPr>
            <w:r>
              <w:rPr>
                <w:bCs/>
              </w:rPr>
              <w:t>50 724</w:t>
            </w:r>
          </w:p>
        </w:tc>
      </w:tr>
    </w:tbl>
    <w:p w:rsidR="009841BC" w:rsidRDefault="009841BC"/>
    <w:p w:rsidR="009841BC" w:rsidRDefault="00EA09EE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3.</w:t>
      </w:r>
    </w:p>
    <w:p w:rsidR="009841BC" w:rsidRDefault="00EA09EE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Ключевые контрольные точки</w:t>
      </w:r>
    </w:p>
    <w:tbl>
      <w:tblPr>
        <w:tblStyle w:val="13"/>
        <w:tblW w:w="5000" w:type="pct"/>
        <w:jc w:val="center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736"/>
        <w:gridCol w:w="2654"/>
        <w:gridCol w:w="2512"/>
      </w:tblGrid>
      <w:tr w:rsidR="009841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gridSpan w:val="3"/>
          </w:tcPr>
          <w:p w:rsidR="009841BC" w:rsidRDefault="00EA09EE">
            <w:pPr>
              <w:pStyle w:val="14"/>
            </w:pPr>
            <w:r>
              <w:t>КЛЮЧЕВЫЕ КОНТРОЛЬНЫЕ ТОЧКИ</w:t>
            </w:r>
          </w:p>
        </w:tc>
      </w:tr>
      <w:tr w:rsidR="009841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</w:tcPr>
          <w:p w:rsidR="009841BC" w:rsidRDefault="00EA09EE">
            <w:pPr>
              <w:pStyle w:val="14"/>
            </w:pPr>
            <w:r>
              <w:t>Название контрольной точки</w:t>
            </w:r>
          </w:p>
        </w:tc>
        <w:tc>
          <w:tcPr>
            <w:tcW w:w="0" w:type="auto"/>
          </w:tcPr>
          <w:p w:rsidR="009841BC" w:rsidRDefault="00EA09EE">
            <w:pPr>
              <w:pStyle w:val="14"/>
            </w:pPr>
            <w:r>
              <w:t>Ответственный</w:t>
            </w:r>
          </w:p>
        </w:tc>
        <w:tc>
          <w:tcPr>
            <w:tcW w:w="0" w:type="auto"/>
          </w:tcPr>
          <w:p w:rsidR="009841BC" w:rsidRDefault="00EA09EE">
            <w:pPr>
              <w:pStyle w:val="14"/>
            </w:pPr>
            <w:r>
              <w:t>Плановая дата</w:t>
            </w:r>
          </w:p>
        </w:tc>
      </w:tr>
    </w:tbl>
    <w:p w:rsidR="009841BC" w:rsidRDefault="009841BC"/>
    <w:p w:rsidR="009841BC" w:rsidRDefault="00EA09EE">
      <w:pPr>
        <w:pStyle w:val="1"/>
        <w:numPr>
          <w:ilvl w:val="0"/>
          <w:numId w:val="1"/>
        </w:numPr>
      </w:pPr>
      <w:r>
        <w:t>КОНТАКТНОЕ ЛИЦО</w:t>
      </w:r>
    </w:p>
    <w:p w:rsidR="009841BC" w:rsidRDefault="00EA09EE">
      <w:pPr>
        <w:pStyle w:val="Normalparagraph"/>
        <w:spacing w:before="283" w:after="113"/>
      </w:pPr>
      <w:r>
        <w:t>Руководитель направления по развитию стратегии и взаимодействию с контролирующими органами Петербургская сбытовая компания Дедов Александр Всеволодович</w:t>
      </w:r>
    </w:p>
    <w:sectPr w:rsidR="009841BC">
      <w:footerReference w:type="default" r:id="rId7"/>
      <w:pgSz w:w="11906" w:h="16838"/>
      <w:pgMar w:top="1134" w:right="850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41BC" w:rsidRDefault="00EA09EE">
      <w:r>
        <w:separator/>
      </w:r>
    </w:p>
  </w:endnote>
  <w:endnote w:type="continuationSeparator" w:id="0">
    <w:p w:rsidR="009841BC" w:rsidRDefault="00EA09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41BC" w:rsidRDefault="00EA09EE">
    <w:pPr>
      <w:jc w:val="right"/>
    </w:pPr>
    <w:r>
      <w:fldChar w:fldCharType="begin"/>
    </w:r>
    <w:r>
      <w:instrText>PAGE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41BC" w:rsidRDefault="00EA09EE">
      <w:r>
        <w:separator/>
      </w:r>
    </w:p>
  </w:footnote>
  <w:footnote w:type="continuationSeparator" w:id="0">
    <w:p w:rsidR="009841BC" w:rsidRDefault="00EA09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FB7895"/>
    <w:multiLevelType w:val="multilevel"/>
    <w:tmpl w:val="7786DE62"/>
    <w:lvl w:ilvl="0">
      <w:start w:val="1"/>
      <w:numFmt w:val="decimal"/>
      <w:suff w:val="space"/>
      <w:lvlText w:val="%1. "/>
      <w:lvlJc w:val="left"/>
      <w:pPr>
        <w:ind w:left="0" w:firstLine="0"/>
      </w:pPr>
    </w:lvl>
    <w:lvl w:ilvl="1">
      <w:start w:val="1"/>
      <w:numFmt w:val="decimal"/>
      <w:suff w:val="space"/>
      <w:lvlText w:val="%1.%2. 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41BC"/>
    <w:rsid w:val="009841BC"/>
    <w:rsid w:val="00EA0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F3DBC"/>
  <w15:docId w15:val="{AD598E26-AA8C-4CEE-829B-2BA93A910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color w:val="000000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 w:line="240" w:lineRule="auto"/>
      <w:ind w:firstLine="283"/>
    </w:pPr>
    <w:rPr>
      <w:rFonts w:ascii="Liberation Serif" w:eastAsia="Liberation Serif" w:hAnsi="Liberation Serif" w:cs="Liberation Serif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567" w:after="255"/>
      <w:ind w:left="142" w:firstLine="0"/>
      <w:outlineLvl w:val="0"/>
    </w:pPr>
    <w:rPr>
      <w:b/>
      <w:sz w:val="28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82" w:after="198" w:line="140" w:lineRule="auto"/>
      <w:ind w:left="142" w:firstLine="0"/>
      <w:outlineLvl w:val="1"/>
    </w:pPr>
    <w:rPr>
      <w:b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4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styleId="af8">
    <w:name w:val="No Spacing"/>
    <w:basedOn w:val="a"/>
    <w:uiPriority w:val="1"/>
    <w:qFormat/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Normalparagraph">
    <w:name w:val="Normal paragraph"/>
    <w:basedOn w:val="a"/>
    <w:uiPriority w:val="1"/>
    <w:qFormat/>
    <w:pPr>
      <w:spacing w:before="170"/>
    </w:pPr>
  </w:style>
  <w:style w:type="table" w:customStyle="1" w:styleId="13">
    <w:name w:val="Таблица 1"/>
    <w:uiPriority w:val="1"/>
    <w:qFormat/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tcMar>
        <w:top w:w="91" w:type="dxa"/>
        <w:left w:w="85" w:type="dxa"/>
        <w:bottom w:w="91" w:type="dxa"/>
        <w:right w:w="85" w:type="dxa"/>
      </w:tcMar>
      <w:vAlign w:val="center"/>
    </w:tcPr>
  </w:style>
  <w:style w:type="paragraph" w:customStyle="1" w:styleId="14">
    <w:name w:val="Таблица 1. Заголовок"/>
    <w:uiPriority w:val="1"/>
    <w:qFormat/>
    <w:pPr>
      <w:spacing w:after="0" w:line="240" w:lineRule="auto"/>
      <w:jc w:val="center"/>
    </w:pPr>
    <w:rPr>
      <w:rFonts w:ascii="Liberation Serif" w:eastAsia="Liberation Serif" w:hAnsi="Liberation Serif" w:cs="Liberation Serif"/>
      <w:b/>
      <w:sz w:val="20"/>
    </w:rPr>
  </w:style>
  <w:style w:type="paragraph" w:customStyle="1" w:styleId="15">
    <w:name w:val="Таблица 1. Число"/>
    <w:basedOn w:val="14"/>
    <w:uiPriority w:val="1"/>
    <w:qFormat/>
    <w:pPr>
      <w:jc w:val="right"/>
    </w:pPr>
  </w:style>
  <w:style w:type="paragraph" w:customStyle="1" w:styleId="16">
    <w:name w:val="Таблица 1. Строка"/>
    <w:basedOn w:val="14"/>
    <w:uiPriority w:val="1"/>
    <w:qFormat/>
    <w:pPr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653</Words>
  <Characters>3727</Characters>
  <Application>Microsoft Office Word</Application>
  <DocSecurity>0</DocSecurity>
  <Lines>31</Lines>
  <Paragraphs>8</Paragraphs>
  <ScaleCrop>false</ScaleCrop>
  <Company/>
  <LinksUpToDate>false</LinksUpToDate>
  <CharactersWithSpaces>4372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автор</cp:lastModifiedBy>
  <cp:revision>2</cp:revision>
  <dcterms:created xsi:type="dcterms:W3CDTF">2026-04-06T14:12:00Z</dcterms:created>
  <dcterms:modified xsi:type="dcterms:W3CDTF">2026-04-06T14:13:00Z</dcterms:modified>
</cp:coreProperties>
</file>